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pct" w:w="5000"/>
        <w:tblBorders>
          <w:top w:val="none" w:sz="0"/>
          <w:left w:val="none" w:sz="0"/>
          <w:bottom w:val="none" w:sz="0"/>
          <w:right w:val="none" w:sz="0"/>
          <w:insideH w:val="none" w:sz="0"/>
          <w:insideV w:val="none" w:sz="0"/>
        </w:tblBorders>
      </w:tblPr>
      <w:tblGrid>
        <w:gridCol w:w="6940"/>
        <w:gridCol w:w="3266"/>
      </w:tblGrid>
      <w:tr>
        <w:tc>
          <w:tcPr>
            <w:tcW w:type="pct" w:w="3400"/>
            <w:tcMar>
              <w:top w:type="dxa" w:w="0"/>
              <w:left w:type="dxa" w:w="0"/>
              <w:bottom w:type="dxa" w:w="0"/>
              <w:right w:type="dxa" w:w="0"/>
            </w:tcMar>
            <w:vAlign w:val="bottom"/>
          </w:tcPr>
          <w:p>
            <w:pPr>
              <w:spacing w:after="50" w:line="250"/>
            </w:pPr>
            <w:r>
              <w:rPr>
                <w:rFonts w:ascii="IBM Plex Sans" w:cs="IBM Plex Sans" w:eastAsia="IBM Plex Sans" w:hAnsi="IBM Plex Sans"/>
                <w:b/>
                <w:bCs/>
                <w:color w:val="1D2522"/>
                <w:spacing w:val="-8"/>
                <w:sz w:val="44"/>
                <w:szCs w:val="44"/>
              </w:rPr>
              <w:t xml:space="preserve">Good Faith Estimate</w:t>
            </w:r>
          </w:p>
          <w:p>
            <w:pPr>
              <w:spacing w:after="0" w:line="250"/>
            </w:pPr>
            <w:r>
              <w:rPr>
                <w:rFonts w:ascii="IBM Plex Sans" w:cs="IBM Plex Sans" w:eastAsia="IBM Plex Sans" w:hAnsi="IBM Plex Sans"/>
                <w:color w:val="686D6B"/>
                <w:sz w:val="17"/>
                <w:szCs w:val="17"/>
              </w:rPr>
              <w:t xml:space="preserve">For health care items and services · uninsured and self-pay individuals</w:t>
            </w:r>
          </w:p>
        </w:tc>
        <w:tc>
          <w:tcPr>
            <w:tcW w:type="pct" w:w="1600"/>
            <w:tcMar>
              <w:top w:type="dxa" w:w="0"/>
              <w:left w:type="dxa" w:w="0"/>
              <w:bottom w:type="dxa" w:w="0"/>
              <w:right w:type="dxa" w:w="0"/>
            </w:tcMar>
            <w:vAlign w:val="bottom"/>
          </w:tcPr>
          <w:p>
            <w:pPr>
              <w:spacing w:after="30"/>
              <w:jc w:val="right"/>
            </w:pPr>
            <w:r>
              <w:drawing>
                <wp:inline distT="0" distB="0" distL="0" distR="0">
                  <wp:extent cx="990600" cy="466725"/>
                  <wp:effectExtent t="0" r="0" b="0" l="0"/>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990600" cy="466725"/>
                          </a:xfrm>
                          <a:prstGeom prst="rect">
                            <a:avLst/>
                          </a:prstGeom>
                        </pic:spPr>
                      </pic:pic>
                    </a:graphicData>
                  </a:graphic>
                </wp:inline>
              </w:drawing>
            </w:r>
          </w:p>
          <w:p>
            <w:pPr>
              <w:spacing w:after="0"/>
              <w:jc w:val="right"/>
            </w:pPr>
            <w:r>
              <w:rPr>
                <w:rFonts w:ascii="IBM Plex Sans" w:cs="IBM Plex Sans" w:eastAsia="IBM Plex Sans" w:hAnsi="IBM Plex Sans"/>
                <w:b/>
                <w:bCs/>
                <w:color w:val="6F7472"/>
                <w:spacing w:val="36"/>
                <w:sz w:val="12"/>
                <w:szCs w:val="12"/>
              </w:rPr>
              <w:t xml:space="preserve">HEYSUPA.COM</w:t>
            </w:r>
          </w:p>
        </w:tc>
      </w:tr>
    </w:tbl>
    <w:p>
      <w:pPr>
        <w:pBdr>
          <w:bottom w:val="single" w:color="2A7069" w:sz="8" w:space="1"/>
        </w:pBdr>
        <w:spacing w:after="190" w:before="110"/>
      </w:pPr>
      <w:r>
        <w:rPr>
          <w:rFonts w:ascii="IBM Plex Sans" w:cs="IBM Plex Sans" w:eastAsia="IBM Plex Sans" w:hAnsi="IBM Plex Sans"/>
          <w:sz w:val="2"/>
          <w:szCs w:val="2"/>
        </w:rPr>
        <w:t xml:space="preserve"/>
      </w:r>
    </w:p>
    <w:p>
      <w:pPr>
        <w:spacing w:after="60" w:line="270"/>
      </w:pPr>
      <w:r>
        <w:rPr>
          <w:rFonts w:ascii="IBM Plex Sans" w:cs="IBM Plex Sans" w:eastAsia="IBM Plex Sans" w:hAnsi="IBM Plex Sans"/>
          <w:b/>
          <w:bCs/>
          <w:color w:val="4D5351"/>
          <w:sz w:val="17"/>
          <w:szCs w:val="17"/>
        </w:rPr>
        <w:t xml:space="preserve">[PRACTICE OR PROVIDER NAME]</w:t>
      </w:r>
    </w:p>
    <w:p>
      <w:pPr>
        <w:spacing w:after="230" w:line="270"/>
      </w:pPr>
      <w:r>
        <w:rPr>
          <w:rFonts w:ascii="IBM Plex Sans" w:cs="IBM Plex Sans" w:eastAsia="IBM Plex Sans" w:hAnsi="IBM Plex Sans"/>
          <w:color w:val="4D5351"/>
          <w:sz w:val="19"/>
          <w:szCs w:val="19"/>
        </w:rPr>
        <w:t xml:space="preserve">Date prepared  ______________________        Estimate reference  ______________________</w:t>
      </w:r>
    </w:p>
    <w:p>
      <w:pPr>
        <w:spacing w:after="70" w:line="270"/>
      </w:pPr>
      <w:r>
        <w:rPr>
          <w:rFonts w:ascii="IBM Plex Sans" w:cs="IBM Plex Sans" w:eastAsia="IBM Plex Sans" w:hAnsi="IBM Plex Sans"/>
          <w:b/>
          <w:bCs/>
          <w:color w:val="244C39"/>
          <w:spacing w:val="28"/>
          <w:sz w:val="15"/>
          <w:szCs w:val="15"/>
        </w:rPr>
        <w:t xml:space="preserve">PATIENT</w:t>
      </w:r>
    </w:p>
    <w:tbl>
      <w:tblPr>
        <w:tblW w:type="pct" w:w="5000"/>
        <w:tblBorders>
          <w:top w:val="single" w:color="D9DAD9" w:sz="2"/>
          <w:left w:val="single" w:color="D9DAD9" w:sz="2"/>
          <w:bottom w:val="single" w:color="D9DAD9" w:sz="2"/>
          <w:right w:val="single" w:color="D9DAD9" w:sz="2"/>
          <w:insideH w:val="single" w:color="D9DAD9" w:sz="2"/>
          <w:insideV w:val="single" w:color="D9DAD9" w:sz="2"/>
        </w:tblBorders>
      </w:tblPr>
      <w:tblGrid>
        <w:gridCol w:w="5103"/>
        <w:gridCol w:w="5103"/>
      </w:tblGrid>
      <w:tr>
        <w:trPr>
          <w:tblHeader/>
        </w:trPr>
        <w:tc>
          <w:tcPr>
            <w:shd w:fill="EFF2EC" w:val="clear"/>
            <w:tcMar>
              <w:top w:type="dxa" w:w="85"/>
              <w:left w:type="dxa" w:w="115"/>
              <w:bottom w:type="dxa" w:w="85"/>
              <w:right w:type="dxa" w:w="115"/>
            </w:tcMar>
            <w:vAlign w:val="center"/>
          </w:tcPr>
          <w:p>
            <w:pPr>
              <w:spacing w:after="0" w:line="255"/>
            </w:pPr>
            <w:r>
              <w:rPr>
                <w:rFonts w:ascii="IBM Plex Sans" w:cs="IBM Plex Sans" w:eastAsia="IBM Plex Sans" w:hAnsi="IBM Plex Sans"/>
                <w:b/>
                <w:bCs/>
                <w:color w:val="244C39"/>
                <w:spacing w:val="20"/>
                <w:sz w:val="15"/>
                <w:szCs w:val="15"/>
              </w:rPr>
              <w:t xml:space="preserve">Field</w:t>
            </w:r>
          </w:p>
        </w:tc>
        <w:tc>
          <w:tcPr>
            <w:shd w:fill="EFF2EC" w:val="clear"/>
            <w:tcMar>
              <w:top w:type="dxa" w:w="85"/>
              <w:left w:type="dxa" w:w="115"/>
              <w:bottom w:type="dxa" w:w="85"/>
              <w:right w:type="dxa" w:w="115"/>
            </w:tcMar>
            <w:vAlign w:val="center"/>
          </w:tcPr>
          <w:p>
            <w:pPr>
              <w:spacing w:after="0" w:line="255"/>
            </w:pPr>
            <w:r>
              <w:rPr>
                <w:rFonts w:ascii="IBM Plex Sans" w:cs="IBM Plex Sans" w:eastAsia="IBM Plex Sans" w:hAnsi="IBM Plex Sans"/>
                <w:b/>
                <w:bCs/>
                <w:color w:val="244C39"/>
                <w:spacing w:val="20"/>
                <w:sz w:val="15"/>
                <w:szCs w:val="15"/>
              </w:rPr>
              <w:t xml:space="preserve">Entry</w:t>
            </w:r>
          </w:p>
        </w:tc>
      </w:tr>
      <w:tr>
        <w:trPr>
          <w:tblHeader w:val="off"/>
        </w:trPr>
        <w:tc>
          <w:tcPr>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First / middle / last name</w:t>
            </w:r>
          </w:p>
        </w:tc>
        <w:tc>
          <w:tcPr>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 </w:t>
            </w:r>
          </w:p>
        </w:tc>
      </w:tr>
      <w:tr>
        <w:trPr>
          <w:tblHeader w:val="off"/>
        </w:trPr>
        <w:tc>
          <w:tcPr>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Date of birth</w:t>
            </w:r>
          </w:p>
        </w:tc>
        <w:tc>
          <w:tcPr>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 </w:t>
            </w:r>
          </w:p>
        </w:tc>
      </w:tr>
      <w:tr>
        <w:trPr>
          <w:tblHeader w:val="off"/>
        </w:trPr>
        <w:tc>
          <w:tcPr>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Account number (last four digits, optional)</w:t>
            </w:r>
          </w:p>
        </w:tc>
        <w:tc>
          <w:tcPr>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 </w:t>
            </w:r>
          </w:p>
        </w:tc>
      </w:tr>
      <w:tr>
        <w:trPr>
          <w:tblHeader w:val="off"/>
        </w:trPr>
        <w:tc>
          <w:tcPr>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Mailing address</w:t>
            </w:r>
          </w:p>
        </w:tc>
        <w:tc>
          <w:tcPr>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 </w:t>
            </w:r>
          </w:p>
        </w:tc>
      </w:tr>
      <w:tr>
        <w:trPr>
          <w:tblHeader w:val="off"/>
        </w:trPr>
        <w:tc>
          <w:tcPr>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Phone</w:t>
            </w:r>
          </w:p>
        </w:tc>
        <w:tc>
          <w:tcPr>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 </w:t>
            </w:r>
          </w:p>
        </w:tc>
      </w:tr>
      <w:tr>
        <w:trPr>
          <w:tblHeader w:val="off"/>
        </w:trPr>
        <w:tc>
          <w:tcPr>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Email</w:t>
            </w:r>
          </w:p>
        </w:tc>
        <w:tc>
          <w:tcPr>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 </w:t>
            </w:r>
          </w:p>
        </w:tc>
      </w:tr>
      <w:tr>
        <w:trPr>
          <w:tblHeader w:val="off"/>
        </w:trPr>
        <w:tc>
          <w:tcPr>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Contact preference</w:t>
            </w:r>
          </w:p>
        </w:tc>
        <w:tc>
          <w:tcPr>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 Mail    □ Email    □ Phone</w:t>
            </w:r>
          </w:p>
        </w:tc>
      </w:tr>
    </w:tbl>
    <w:p>
      <w:pPr>
        <w:spacing w:after="170" w:line="270"/>
      </w:pPr>
      <w:r>
        <w:rPr>
          <w:rFonts w:ascii="IBM Plex Sans" w:cs="IBM Plex Sans" w:eastAsia="IBM Plex Sans" w:hAnsi="IBM Plex Sans"/>
          <w:color w:val="3A413E"/>
          <w:sz w:val="19"/>
          <w:szCs w:val="19"/>
        </w:rPr>
        <w:t xml:space="preserve"/>
      </w:r>
    </w:p>
    <w:p>
      <w:pPr>
        <w:spacing w:after="70" w:line="270"/>
      </w:pPr>
      <w:r>
        <w:rPr>
          <w:rFonts w:ascii="IBM Plex Sans" w:cs="IBM Plex Sans" w:eastAsia="IBM Plex Sans" w:hAnsi="IBM Plex Sans"/>
          <w:b/>
          <w:bCs/>
          <w:color w:val="244C39"/>
          <w:spacing w:val="28"/>
          <w:sz w:val="15"/>
          <w:szCs w:val="15"/>
        </w:rPr>
        <w:t xml:space="preserve">SERVICE REQUESTED AND DIAGNOSIS</w:t>
      </w:r>
    </w:p>
    <w:tbl>
      <w:tblPr>
        <w:tblW w:type="pct" w:w="5000"/>
        <w:tblBorders>
          <w:top w:val="single" w:color="D9DAD9" w:sz="2"/>
          <w:left w:val="single" w:color="D9DAD9" w:sz="2"/>
          <w:bottom w:val="single" w:color="D9DAD9" w:sz="2"/>
          <w:right w:val="single" w:color="D9DAD9" w:sz="2"/>
          <w:insideH w:val="single" w:color="D9DAD9" w:sz="2"/>
          <w:insideV w:val="single" w:color="D9DAD9" w:sz="2"/>
        </w:tblBorders>
      </w:tblPr>
      <w:tblGrid>
        <w:gridCol w:w="5103"/>
        <w:gridCol w:w="5103"/>
      </w:tblGrid>
      <w:tr>
        <w:trPr>
          <w:tblHeader/>
        </w:trPr>
        <w:tc>
          <w:tcPr>
            <w:shd w:fill="EFF2EC" w:val="clear"/>
            <w:tcMar>
              <w:top w:type="dxa" w:w="85"/>
              <w:left w:type="dxa" w:w="115"/>
              <w:bottom w:type="dxa" w:w="85"/>
              <w:right w:type="dxa" w:w="115"/>
            </w:tcMar>
            <w:vAlign w:val="center"/>
          </w:tcPr>
          <w:p>
            <w:pPr>
              <w:spacing w:after="0" w:line="255"/>
            </w:pPr>
            <w:r>
              <w:rPr>
                <w:rFonts w:ascii="IBM Plex Sans" w:cs="IBM Plex Sans" w:eastAsia="IBM Plex Sans" w:hAnsi="IBM Plex Sans"/>
                <w:b/>
                <w:bCs/>
                <w:color w:val="244C39"/>
                <w:spacing w:val="20"/>
                <w:sz w:val="15"/>
                <w:szCs w:val="15"/>
              </w:rPr>
              <w:t xml:space="preserve">Field</w:t>
            </w:r>
          </w:p>
        </w:tc>
        <w:tc>
          <w:tcPr>
            <w:shd w:fill="EFF2EC" w:val="clear"/>
            <w:tcMar>
              <w:top w:type="dxa" w:w="85"/>
              <w:left w:type="dxa" w:w="115"/>
              <w:bottom w:type="dxa" w:w="85"/>
              <w:right w:type="dxa" w:w="115"/>
            </w:tcMar>
            <w:vAlign w:val="center"/>
          </w:tcPr>
          <w:p>
            <w:pPr>
              <w:spacing w:after="0" w:line="255"/>
            </w:pPr>
            <w:r>
              <w:rPr>
                <w:rFonts w:ascii="IBM Plex Sans" w:cs="IBM Plex Sans" w:eastAsia="IBM Plex Sans" w:hAnsi="IBM Plex Sans"/>
                <w:b/>
                <w:bCs/>
                <w:color w:val="244C39"/>
                <w:spacing w:val="20"/>
                <w:sz w:val="15"/>
                <w:szCs w:val="15"/>
              </w:rPr>
              <w:t xml:space="preserve">Entry</w:t>
            </w:r>
          </w:p>
        </w:tc>
      </w:tr>
      <w:tr>
        <w:trPr>
          <w:tblHeader w:val="off"/>
        </w:trPr>
        <w:tc>
          <w:tcPr>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Primary service or item requested or scheduled</w:t>
            </w:r>
          </w:p>
        </w:tc>
        <w:tc>
          <w:tcPr>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 </w:t>
            </w:r>
          </w:p>
        </w:tc>
      </w:tr>
      <w:tr>
        <w:trPr>
          <w:tblHeader w:val="off"/>
        </w:trPr>
        <w:tc>
          <w:tcPr>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Primary diagnosis (if determined)</w:t>
            </w:r>
          </w:p>
        </w:tc>
        <w:tc>
          <w:tcPr>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 </w:t>
            </w:r>
          </w:p>
        </w:tc>
      </w:tr>
      <w:tr>
        <w:trPr>
          <w:tblHeader w:val="off"/>
        </w:trPr>
        <w:tc>
          <w:tcPr>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Primary diagnosis code</w:t>
            </w:r>
          </w:p>
        </w:tc>
        <w:tc>
          <w:tcPr>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 </w:t>
            </w:r>
          </w:p>
        </w:tc>
      </w:tr>
      <w:tr>
        <w:trPr>
          <w:tblHeader w:val="off"/>
        </w:trPr>
        <w:tc>
          <w:tcPr>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Secondary diagnosis (if determined)</w:t>
            </w:r>
          </w:p>
        </w:tc>
        <w:tc>
          <w:tcPr>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 </w:t>
            </w:r>
          </w:p>
        </w:tc>
      </w:tr>
      <w:tr>
        <w:trPr>
          <w:tblHeader w:val="off"/>
        </w:trPr>
        <w:tc>
          <w:tcPr>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Secondary diagnosis code</w:t>
            </w:r>
          </w:p>
        </w:tc>
        <w:tc>
          <w:tcPr>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 </w:t>
            </w:r>
          </w:p>
        </w:tc>
      </w:tr>
      <w:tr>
        <w:trPr>
          <w:tblHeader w:val="off"/>
        </w:trPr>
        <w:tc>
          <w:tcPr>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Date(s) the service will be provided</w:t>
            </w:r>
          </w:p>
        </w:tc>
        <w:tc>
          <w:tcPr>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 </w:t>
            </w:r>
          </w:p>
        </w:tc>
      </w:tr>
      <w:tr>
        <w:trPr>
          <w:tblHeader w:val="off"/>
        </w:trPr>
        <w:tc>
          <w:tcPr>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Not yet scheduled</w:t>
            </w:r>
          </w:p>
        </w:tc>
        <w:tc>
          <w:tcPr>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 Check if this service or item is not yet scheduled</w:t>
            </w:r>
          </w:p>
        </w:tc>
      </w:tr>
    </w:tbl>
    <w:p>
      <w:pPr>
        <w:spacing w:after="190" w:before="90" w:line="270"/>
      </w:pPr>
      <w:r>
        <w:rPr>
          <w:rFonts w:ascii="IBM Plex Sans" w:cs="IBM Plex Sans" w:eastAsia="IBM Plex Sans" w:hAnsi="IBM Plex Sans"/>
          <w:i/>
          <w:iCs/>
          <w:color w:val="686D6B"/>
          <w:sz w:val="19"/>
          <w:szCs w:val="19"/>
        </w:rPr>
        <w:t xml:space="preserve">Record a diagnosis only where one has been determined and is required for the estimate. Do not enter a provisional diagnosis to complete the form.</w:t>
      </w:r>
    </w:p>
    <w:p>
      <w:pPr>
        <w:spacing w:after="70" w:line="270"/>
      </w:pPr>
      <w:r>
        <w:rPr>
          <w:rFonts w:ascii="IBM Plex Sans" w:cs="IBM Plex Sans" w:eastAsia="IBM Plex Sans" w:hAnsi="IBM Plex Sans"/>
          <w:b/>
          <w:bCs/>
          <w:color w:val="244C39"/>
          <w:spacing w:val="28"/>
          <w:sz w:val="15"/>
          <w:szCs w:val="15"/>
        </w:rPr>
        <w:t xml:space="preserve">PROVIDER OR FACILITY ISSUING THIS ESTIMATE</w:t>
      </w:r>
    </w:p>
    <w:tbl>
      <w:tblPr>
        <w:tblW w:type="pct" w:w="5000"/>
        <w:tblBorders>
          <w:top w:val="single" w:color="D9DAD9" w:sz="2"/>
          <w:left w:val="single" w:color="D9DAD9" w:sz="2"/>
          <w:bottom w:val="single" w:color="D9DAD9" w:sz="2"/>
          <w:right w:val="single" w:color="D9DAD9" w:sz="2"/>
          <w:insideH w:val="single" w:color="D9DAD9" w:sz="2"/>
          <w:insideV w:val="single" w:color="D9DAD9" w:sz="2"/>
        </w:tblBorders>
      </w:tblPr>
      <w:tblGrid>
        <w:gridCol w:w="5103"/>
        <w:gridCol w:w="5103"/>
      </w:tblGrid>
      <w:tr>
        <w:trPr>
          <w:tblHeader/>
        </w:trPr>
        <w:tc>
          <w:tcPr>
            <w:shd w:fill="EFF2EC" w:val="clear"/>
            <w:tcMar>
              <w:top w:type="dxa" w:w="85"/>
              <w:left w:type="dxa" w:w="115"/>
              <w:bottom w:type="dxa" w:w="85"/>
              <w:right w:type="dxa" w:w="115"/>
            </w:tcMar>
            <w:vAlign w:val="center"/>
          </w:tcPr>
          <w:p>
            <w:pPr>
              <w:spacing w:after="0" w:line="255"/>
            </w:pPr>
            <w:r>
              <w:rPr>
                <w:rFonts w:ascii="IBM Plex Sans" w:cs="IBM Plex Sans" w:eastAsia="IBM Plex Sans" w:hAnsi="IBM Plex Sans"/>
                <w:b/>
                <w:bCs/>
                <w:color w:val="244C39"/>
                <w:spacing w:val="20"/>
                <w:sz w:val="15"/>
                <w:szCs w:val="15"/>
              </w:rPr>
              <w:t xml:space="preserve">Field</w:t>
            </w:r>
          </w:p>
        </w:tc>
        <w:tc>
          <w:tcPr>
            <w:shd w:fill="EFF2EC" w:val="clear"/>
            <w:tcMar>
              <w:top w:type="dxa" w:w="85"/>
              <w:left w:type="dxa" w:w="115"/>
              <w:bottom w:type="dxa" w:w="85"/>
              <w:right w:type="dxa" w:w="115"/>
            </w:tcMar>
            <w:vAlign w:val="center"/>
          </w:tcPr>
          <w:p>
            <w:pPr>
              <w:spacing w:after="0" w:line="255"/>
            </w:pPr>
            <w:r>
              <w:rPr>
                <w:rFonts w:ascii="IBM Plex Sans" w:cs="IBM Plex Sans" w:eastAsia="IBM Plex Sans" w:hAnsi="IBM Plex Sans"/>
                <w:b/>
                <w:bCs/>
                <w:color w:val="244C39"/>
                <w:spacing w:val="20"/>
                <w:sz w:val="15"/>
                <w:szCs w:val="15"/>
              </w:rPr>
              <w:t xml:space="preserve">Entry</w:t>
            </w:r>
          </w:p>
        </w:tc>
      </w:tr>
      <w:tr>
        <w:trPr>
          <w:tblHeader w:val="off"/>
        </w:trPr>
        <w:tc>
          <w:tcPr>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Provider or facility name</w:t>
            </w:r>
          </w:p>
        </w:tc>
        <w:tc>
          <w:tcPr>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 </w:t>
            </w:r>
          </w:p>
        </w:tc>
      </w:tr>
      <w:tr>
        <w:trPr>
          <w:tblHeader w:val="off"/>
        </w:trPr>
        <w:tc>
          <w:tcPr>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Provider or facility type</w:t>
            </w:r>
          </w:p>
        </w:tc>
        <w:tc>
          <w:tcPr>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 </w:t>
            </w:r>
          </w:p>
        </w:tc>
      </w:tr>
      <w:tr>
        <w:trPr>
          <w:tblHeader w:val="off"/>
        </w:trPr>
        <w:tc>
          <w:tcPr>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Street address, city, state, ZIP</w:t>
            </w:r>
          </w:p>
        </w:tc>
        <w:tc>
          <w:tcPr>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 </w:t>
            </w:r>
          </w:p>
        </w:tc>
      </w:tr>
      <w:tr>
        <w:trPr>
          <w:tblHeader w:val="off"/>
        </w:trPr>
        <w:tc>
          <w:tcPr>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Contact person</w:t>
            </w:r>
          </w:p>
        </w:tc>
        <w:tc>
          <w:tcPr>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 </w:t>
            </w:r>
          </w:p>
        </w:tc>
      </w:tr>
      <w:tr>
        <w:trPr>
          <w:tblHeader w:val="off"/>
        </w:trPr>
        <w:tc>
          <w:tcPr>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Phone / email</w:t>
            </w:r>
          </w:p>
        </w:tc>
        <w:tc>
          <w:tcPr>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 </w:t>
            </w:r>
          </w:p>
        </w:tc>
      </w:tr>
      <w:tr>
        <w:trPr>
          <w:tblHeader w:val="off"/>
        </w:trPr>
        <w:tc>
          <w:tcPr>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National Provider Identifier (NPI)</w:t>
            </w:r>
          </w:p>
        </w:tc>
        <w:tc>
          <w:tcPr>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 </w:t>
            </w:r>
          </w:p>
        </w:tc>
      </w:tr>
      <w:tr>
        <w:trPr>
          <w:tblHeader w:val="off"/>
        </w:trPr>
        <w:tc>
          <w:tcPr>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Taxpayer Identification Number (TIN)</w:t>
            </w:r>
          </w:p>
        </w:tc>
        <w:tc>
          <w:tcPr>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 </w:t>
            </w:r>
          </w:p>
        </w:tc>
      </w:tr>
    </w:tbl>
    <w:p>
      <w:pPr>
        <w:spacing w:after="170" w:line="270"/>
      </w:pPr>
      <w:r>
        <w:rPr>
          <w:rFonts w:ascii="IBM Plex Sans" w:cs="IBM Plex Sans" w:eastAsia="IBM Plex Sans" w:hAnsi="IBM Plex Sans"/>
          <w:color w:val="3A413E"/>
          <w:sz w:val="19"/>
          <w:szCs w:val="19"/>
        </w:rPr>
        <w:t xml:space="preserve"/>
      </w:r>
    </w:p>
    <w:p>
      <w:pPr>
        <w:spacing w:after="70" w:line="270"/>
      </w:pPr>
      <w:r>
        <w:rPr>
          <w:rFonts w:ascii="IBM Plex Sans" w:cs="IBM Plex Sans" w:eastAsia="IBM Plex Sans" w:hAnsi="IBM Plex Sans"/>
          <w:b/>
          <w:bCs/>
          <w:color w:val="244C39"/>
          <w:spacing w:val="28"/>
          <w:sz w:val="15"/>
          <w:szCs w:val="15"/>
        </w:rPr>
        <w:t xml:space="preserve">EXPECTED SERVICES AND CHARGES</w:t>
      </w:r>
    </w:p>
    <w:tbl>
      <w:tblPr>
        <w:tblW w:type="pct" w:w="5000"/>
        <w:tblBorders>
          <w:top w:val="single" w:color="D9DAD9" w:sz="2"/>
          <w:left w:val="single" w:color="D9DAD9" w:sz="2"/>
          <w:bottom w:val="single" w:color="D9DAD9" w:sz="2"/>
          <w:right w:val="single" w:color="D9DAD9" w:sz="2"/>
          <w:insideH w:val="single" w:color="D9DAD9" w:sz="2"/>
          <w:insideV w:val="single" w:color="D9DAD9" w:sz="2"/>
        </w:tblBorders>
      </w:tblPr>
      <w:tblGrid>
        <w:gridCol w:w="2500"/>
        <w:gridCol w:w="1750"/>
        <w:gridCol w:w="1250"/>
        <w:gridCol w:w="1850"/>
        <w:gridCol w:w="650"/>
        <w:gridCol w:w="1600"/>
      </w:tblGrid>
      <w:tr>
        <w:trPr>
          <w:tblHeader/>
        </w:trPr>
        <w:tc>
          <w:tcPr>
            <w:tcW w:type="dxa" w:w="2658"/>
            <w:shd w:fill="EFF2EC" w:val="clear"/>
            <w:tcMar>
              <w:top w:type="dxa" w:w="85"/>
              <w:left w:type="dxa" w:w="115"/>
              <w:bottom w:type="dxa" w:w="85"/>
              <w:right w:type="dxa" w:w="115"/>
            </w:tcMar>
            <w:vAlign w:val="center"/>
          </w:tcPr>
          <w:p>
            <w:pPr>
              <w:spacing w:after="0" w:line="255"/>
            </w:pPr>
            <w:r>
              <w:rPr>
                <w:rFonts w:ascii="IBM Plex Sans" w:cs="IBM Plex Sans" w:eastAsia="IBM Plex Sans" w:hAnsi="IBM Plex Sans"/>
                <w:b/>
                <w:bCs/>
                <w:color w:val="244C39"/>
                <w:spacing w:val="20"/>
                <w:sz w:val="15"/>
                <w:szCs w:val="15"/>
              </w:rPr>
              <w:t xml:space="preserve">Service or item</w:t>
            </w:r>
          </w:p>
        </w:tc>
        <w:tc>
          <w:tcPr>
            <w:tcW w:type="dxa" w:w="1860"/>
            <w:shd w:fill="EFF2EC" w:val="clear"/>
            <w:tcMar>
              <w:top w:type="dxa" w:w="85"/>
              <w:left w:type="dxa" w:w="115"/>
              <w:bottom w:type="dxa" w:w="85"/>
              <w:right w:type="dxa" w:w="115"/>
            </w:tcMar>
            <w:vAlign w:val="center"/>
          </w:tcPr>
          <w:p>
            <w:pPr>
              <w:spacing w:after="0" w:line="255"/>
            </w:pPr>
            <w:r>
              <w:rPr>
                <w:rFonts w:ascii="IBM Plex Sans" w:cs="IBM Plex Sans" w:eastAsia="IBM Plex Sans" w:hAnsi="IBM Plex Sans"/>
                <w:b/>
                <w:bCs/>
                <w:color w:val="244C39"/>
                <w:spacing w:val="20"/>
                <w:sz w:val="15"/>
                <w:szCs w:val="15"/>
              </w:rPr>
              <w:t xml:space="preserve">Where provided</w:t>
            </w:r>
          </w:p>
        </w:tc>
        <w:tc>
          <w:tcPr>
            <w:tcW w:type="dxa" w:w="1329"/>
            <w:shd w:fill="EFF2EC" w:val="clear"/>
            <w:tcMar>
              <w:top w:type="dxa" w:w="85"/>
              <w:left w:type="dxa" w:w="115"/>
              <w:bottom w:type="dxa" w:w="85"/>
              <w:right w:type="dxa" w:w="115"/>
            </w:tcMar>
            <w:vAlign w:val="center"/>
          </w:tcPr>
          <w:p>
            <w:pPr>
              <w:spacing w:after="0" w:line="255"/>
            </w:pPr>
            <w:r>
              <w:rPr>
                <w:rFonts w:ascii="IBM Plex Sans" w:cs="IBM Plex Sans" w:eastAsia="IBM Plex Sans" w:hAnsi="IBM Plex Sans"/>
                <w:b/>
                <w:bCs/>
                <w:color w:val="244C39"/>
                <w:spacing w:val="20"/>
                <w:sz w:val="15"/>
                <w:szCs w:val="15"/>
              </w:rPr>
              <w:t xml:space="preserve">Diagnosis code</w:t>
            </w:r>
          </w:p>
        </w:tc>
        <w:tc>
          <w:tcPr>
            <w:tcW w:type="dxa" w:w="1967"/>
            <w:shd w:fill="EFF2EC" w:val="clear"/>
            <w:tcMar>
              <w:top w:type="dxa" w:w="85"/>
              <w:left w:type="dxa" w:w="115"/>
              <w:bottom w:type="dxa" w:w="85"/>
              <w:right w:type="dxa" w:w="115"/>
            </w:tcMar>
            <w:vAlign w:val="center"/>
          </w:tcPr>
          <w:p>
            <w:pPr>
              <w:spacing w:after="0" w:line="255"/>
            </w:pPr>
            <w:r>
              <w:rPr>
                <w:rFonts w:ascii="IBM Plex Sans" w:cs="IBM Plex Sans" w:eastAsia="IBM Plex Sans" w:hAnsi="IBM Plex Sans"/>
                <w:b/>
                <w:bCs/>
                <w:color w:val="244C39"/>
                <w:spacing w:val="20"/>
                <w:sz w:val="15"/>
                <w:szCs w:val="15"/>
              </w:rPr>
              <w:t xml:space="preserve">Service / procedure code</w:t>
            </w:r>
          </w:p>
        </w:tc>
        <w:tc>
          <w:tcPr>
            <w:tcW w:type="dxa" w:w="691"/>
            <w:shd w:fill="EFF2EC" w:val="clear"/>
            <w:tcMar>
              <w:top w:type="dxa" w:w="85"/>
              <w:left w:type="dxa" w:w="115"/>
              <w:bottom w:type="dxa" w:w="85"/>
              <w:right w:type="dxa" w:w="115"/>
            </w:tcMar>
            <w:vAlign w:val="center"/>
          </w:tcPr>
          <w:p>
            <w:pPr>
              <w:spacing w:after="0" w:line="255"/>
            </w:pPr>
            <w:r>
              <w:rPr>
                <w:rFonts w:ascii="IBM Plex Sans" w:cs="IBM Plex Sans" w:eastAsia="IBM Plex Sans" w:hAnsi="IBM Plex Sans"/>
                <w:b/>
                <w:bCs/>
                <w:color w:val="244C39"/>
                <w:spacing w:val="20"/>
                <w:sz w:val="15"/>
                <w:szCs w:val="15"/>
              </w:rPr>
              <w:t xml:space="preserve">Qty</w:t>
            </w:r>
          </w:p>
        </w:tc>
        <w:tc>
          <w:tcPr>
            <w:tcW w:type="dxa" w:w="1701"/>
            <w:shd w:fill="EFF2EC" w:val="clear"/>
            <w:tcMar>
              <w:top w:type="dxa" w:w="85"/>
              <w:left w:type="dxa" w:w="115"/>
              <w:bottom w:type="dxa" w:w="85"/>
              <w:right w:type="dxa" w:w="115"/>
            </w:tcMar>
            <w:vAlign w:val="center"/>
          </w:tcPr>
          <w:p>
            <w:pPr>
              <w:spacing w:after="0" w:line="255"/>
            </w:pPr>
            <w:r>
              <w:rPr>
                <w:rFonts w:ascii="IBM Plex Sans" w:cs="IBM Plex Sans" w:eastAsia="IBM Plex Sans" w:hAnsi="IBM Plex Sans"/>
                <w:b/>
                <w:bCs/>
                <w:color w:val="244C39"/>
                <w:spacing w:val="20"/>
                <w:sz w:val="15"/>
                <w:szCs w:val="15"/>
              </w:rPr>
              <w:t xml:space="preserve">Expected cost</w:t>
            </w:r>
          </w:p>
        </w:tc>
      </w:tr>
      <w:tr>
        <w:trPr>
          <w:tblHeader w:val="off"/>
        </w:trPr>
        <w:tc>
          <w:tcPr>
            <w:tcW w:type="dxa" w:w="2658"/>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e.g. Individual psychotherapy, 53 minutes</w:t>
            </w:r>
          </w:p>
        </w:tc>
        <w:tc>
          <w:tcPr>
            <w:tcW w:type="dxa" w:w="1860"/>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[address or telehealth]</w:t>
            </w:r>
          </w:p>
        </w:tc>
        <w:tc>
          <w:tcPr>
            <w:tcW w:type="dxa" w:w="1329"/>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[ICD-10]</w:t>
            </w:r>
          </w:p>
        </w:tc>
        <w:tc>
          <w:tcPr>
            <w:tcW w:type="dxa" w:w="1967"/>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CPT 90837</w:t>
            </w:r>
          </w:p>
        </w:tc>
        <w:tc>
          <w:tcPr>
            <w:tcW w:type="dxa" w:w="691"/>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8</w:t>
            </w:r>
          </w:p>
        </w:tc>
        <w:tc>
          <w:tcPr>
            <w:tcW w:type="dxa" w:w="1701"/>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$______</w:t>
            </w:r>
          </w:p>
        </w:tc>
      </w:tr>
      <w:tr>
        <w:trPr>
          <w:tblHeader w:val="off"/>
        </w:trPr>
        <w:tc>
          <w:tcPr>
            <w:tcW w:type="dxa" w:w="2658"/>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 </w:t>
            </w:r>
          </w:p>
        </w:tc>
        <w:tc>
          <w:tcPr>
            <w:tcW w:type="dxa" w:w="1860"/>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 </w:t>
            </w:r>
          </w:p>
        </w:tc>
        <w:tc>
          <w:tcPr>
            <w:tcW w:type="dxa" w:w="1329"/>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 </w:t>
            </w:r>
          </w:p>
        </w:tc>
        <w:tc>
          <w:tcPr>
            <w:tcW w:type="dxa" w:w="1967"/>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 </w:t>
            </w:r>
          </w:p>
        </w:tc>
        <w:tc>
          <w:tcPr>
            <w:tcW w:type="dxa" w:w="691"/>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 </w:t>
            </w:r>
          </w:p>
        </w:tc>
        <w:tc>
          <w:tcPr>
            <w:tcW w:type="dxa" w:w="1701"/>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 </w:t>
            </w:r>
          </w:p>
        </w:tc>
      </w:tr>
      <w:tr>
        <w:trPr>
          <w:tblHeader w:val="off"/>
        </w:trPr>
        <w:tc>
          <w:tcPr>
            <w:tcW w:type="dxa" w:w="2658"/>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 </w:t>
            </w:r>
          </w:p>
        </w:tc>
        <w:tc>
          <w:tcPr>
            <w:tcW w:type="dxa" w:w="1860"/>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 </w:t>
            </w:r>
          </w:p>
        </w:tc>
        <w:tc>
          <w:tcPr>
            <w:tcW w:type="dxa" w:w="1329"/>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 </w:t>
            </w:r>
          </w:p>
        </w:tc>
        <w:tc>
          <w:tcPr>
            <w:tcW w:type="dxa" w:w="1967"/>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 </w:t>
            </w:r>
          </w:p>
        </w:tc>
        <w:tc>
          <w:tcPr>
            <w:tcW w:type="dxa" w:w="691"/>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 </w:t>
            </w:r>
          </w:p>
        </w:tc>
        <w:tc>
          <w:tcPr>
            <w:tcW w:type="dxa" w:w="1701"/>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 </w:t>
            </w:r>
          </w:p>
        </w:tc>
      </w:tr>
      <w:tr>
        <w:trPr>
          <w:tblHeader w:val="off"/>
        </w:trPr>
        <w:tc>
          <w:tcPr>
            <w:tcW w:type="dxa" w:w="2658"/>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 </w:t>
            </w:r>
          </w:p>
        </w:tc>
        <w:tc>
          <w:tcPr>
            <w:tcW w:type="dxa" w:w="1860"/>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 </w:t>
            </w:r>
          </w:p>
        </w:tc>
        <w:tc>
          <w:tcPr>
            <w:tcW w:type="dxa" w:w="1329"/>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 </w:t>
            </w:r>
          </w:p>
        </w:tc>
        <w:tc>
          <w:tcPr>
            <w:tcW w:type="dxa" w:w="1967"/>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 </w:t>
            </w:r>
          </w:p>
        </w:tc>
        <w:tc>
          <w:tcPr>
            <w:tcW w:type="dxa" w:w="691"/>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 </w:t>
            </w:r>
          </w:p>
        </w:tc>
        <w:tc>
          <w:tcPr>
            <w:tcW w:type="dxa" w:w="1701"/>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 </w:t>
            </w:r>
          </w:p>
        </w:tc>
      </w:tr>
      <w:tr>
        <w:trPr>
          <w:tblHeader w:val="off"/>
        </w:trPr>
        <w:tc>
          <w:tcPr>
            <w:tcW w:type="dxa" w:w="2658"/>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 </w:t>
            </w:r>
          </w:p>
        </w:tc>
        <w:tc>
          <w:tcPr>
            <w:tcW w:type="dxa" w:w="1860"/>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 </w:t>
            </w:r>
          </w:p>
        </w:tc>
        <w:tc>
          <w:tcPr>
            <w:tcW w:type="dxa" w:w="1329"/>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 </w:t>
            </w:r>
          </w:p>
        </w:tc>
        <w:tc>
          <w:tcPr>
            <w:tcW w:type="dxa" w:w="1967"/>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 </w:t>
            </w:r>
          </w:p>
        </w:tc>
        <w:tc>
          <w:tcPr>
            <w:tcW w:type="dxa" w:w="691"/>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 </w:t>
            </w:r>
          </w:p>
        </w:tc>
        <w:tc>
          <w:tcPr>
            <w:tcW w:type="dxa" w:w="1701"/>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 </w:t>
            </w:r>
          </w:p>
        </w:tc>
      </w:tr>
      <w:tr>
        <w:trPr>
          <w:tblHeader w:val="off"/>
        </w:trPr>
        <w:tc>
          <w:tcPr>
            <w:tcW w:type="dxa" w:w="2658"/>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 </w:t>
            </w:r>
          </w:p>
        </w:tc>
        <w:tc>
          <w:tcPr>
            <w:tcW w:type="dxa" w:w="1860"/>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 </w:t>
            </w:r>
          </w:p>
        </w:tc>
        <w:tc>
          <w:tcPr>
            <w:tcW w:type="dxa" w:w="1329"/>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 </w:t>
            </w:r>
          </w:p>
        </w:tc>
        <w:tc>
          <w:tcPr>
            <w:tcW w:type="dxa" w:w="1967"/>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 </w:t>
            </w:r>
          </w:p>
        </w:tc>
        <w:tc>
          <w:tcPr>
            <w:tcW w:type="dxa" w:w="691"/>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 </w:t>
            </w:r>
          </w:p>
        </w:tc>
        <w:tc>
          <w:tcPr>
            <w:tcW w:type="dxa" w:w="1701"/>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 </w:t>
            </w:r>
          </w:p>
        </w:tc>
      </w:tr>
    </w:tbl>
    <w:p>
      <w:pPr>
        <w:spacing w:after="60" w:before="110" w:line="270"/>
      </w:pPr>
      <w:r>
        <w:rPr>
          <w:rFonts w:ascii="IBM Plex Sans" w:cs="IBM Plex Sans" w:eastAsia="IBM Plex Sans" w:hAnsi="IBM Plex Sans"/>
          <w:b/>
          <w:bCs/>
          <w:color w:val="1D2522"/>
          <w:sz w:val="19"/>
          <w:szCs w:val="19"/>
        </w:rPr>
        <w:t xml:space="preserve">Total expected charges from this provider or facility     $______________</w:t>
      </w:r>
    </w:p>
    <w:p>
      <w:pPr>
        <w:spacing w:after="190" w:line="270"/>
      </w:pPr>
      <w:r>
        <w:rPr>
          <w:rFonts w:ascii="IBM Plex Sans" w:cs="IBM Plex Sans" w:eastAsia="IBM Plex Sans" w:hAnsi="IBM Plex Sans"/>
          <w:i/>
          <w:iCs/>
          <w:color w:val="686D6B"/>
          <w:sz w:val="19"/>
          <w:szCs w:val="19"/>
        </w:rPr>
        <w:t xml:space="preserve">Replace the example row with the services actually expected. The quantity should reflect the sessions reasonably expected for the estimated period of care, not a placeholder number. Enter a diagnosis code only where one is required for the calculation of the estimate.</w:t>
      </w:r>
    </w:p>
    <w:p>
      <w:pPr>
        <w:spacing w:after="70" w:line="270"/>
      </w:pPr>
      <w:r>
        <w:rPr>
          <w:rFonts w:ascii="IBM Plex Sans" w:cs="IBM Plex Sans" w:eastAsia="IBM Plex Sans" w:hAnsi="IBM Plex Sans"/>
          <w:b/>
          <w:bCs/>
          <w:color w:val="244C39"/>
          <w:spacing w:val="28"/>
          <w:sz w:val="15"/>
          <w:szCs w:val="15"/>
        </w:rPr>
        <w:t xml:space="preserve">ITEMS AND SERVICES EXPECTED FROM ANOTHER PROVIDER</w:t>
      </w:r>
    </w:p>
    <w:p>
      <w:pPr>
        <w:spacing w:after="100" w:line="270"/>
      </w:pPr>
      <w:r>
        <w:rPr>
          <w:rFonts w:ascii="IBM Plex Sans" w:cs="IBM Plex Sans" w:eastAsia="IBM Plex Sans" w:hAnsi="IBM Plex Sans"/>
          <w:color w:val="4D5351"/>
          <w:sz w:val="19"/>
          <w:szCs w:val="19"/>
        </w:rPr>
        <w:t xml:space="preserve">For the items and services listed below, separate good faith estimates will be issued upon scheduling or upon request. Specific information, including the names and identifiers of the providers or facilities, diagnosis codes where required, service codes and expected charges, will be provided in those separate estimates.</w:t>
      </w:r>
    </w:p>
    <w:tbl>
      <w:tblPr>
        <w:tblW w:type="pct" w:w="5000"/>
        <w:tblBorders>
          <w:top w:val="single" w:color="D9DAD9" w:sz="2"/>
          <w:left w:val="single" w:color="D9DAD9" w:sz="2"/>
          <w:bottom w:val="single" w:color="D9DAD9" w:sz="2"/>
          <w:right w:val="single" w:color="D9DAD9" w:sz="2"/>
          <w:insideH w:val="single" w:color="D9DAD9" w:sz="2"/>
          <w:insideV w:val="single" w:color="D9DAD9" w:sz="2"/>
        </w:tblBorders>
      </w:tblPr>
      <w:tblGrid>
        <w:gridCol w:w="3402"/>
        <w:gridCol w:w="3402"/>
        <w:gridCol w:w="3402"/>
      </w:tblGrid>
      <w:tr>
        <w:trPr>
          <w:tblHeader/>
        </w:trPr>
        <w:tc>
          <w:tcPr>
            <w:shd w:fill="EFF2EC" w:val="clear"/>
            <w:tcMar>
              <w:top w:type="dxa" w:w="85"/>
              <w:left w:type="dxa" w:w="115"/>
              <w:bottom w:type="dxa" w:w="85"/>
              <w:right w:type="dxa" w:w="115"/>
            </w:tcMar>
            <w:vAlign w:val="center"/>
          </w:tcPr>
          <w:p>
            <w:pPr>
              <w:spacing w:after="0" w:line="255"/>
            </w:pPr>
            <w:r>
              <w:rPr>
                <w:rFonts w:ascii="IBM Plex Sans" w:cs="IBM Plex Sans" w:eastAsia="IBM Plex Sans" w:hAnsi="IBM Plex Sans"/>
                <w:b/>
                <w:bCs/>
                <w:color w:val="244C39"/>
                <w:spacing w:val="20"/>
                <w:sz w:val="15"/>
                <w:szCs w:val="15"/>
              </w:rPr>
              <w:t xml:space="preserve">Other provider or facility</w:t>
            </w:r>
          </w:p>
        </w:tc>
        <w:tc>
          <w:tcPr>
            <w:shd w:fill="EFF2EC" w:val="clear"/>
            <w:tcMar>
              <w:top w:type="dxa" w:w="85"/>
              <w:left w:type="dxa" w:w="115"/>
              <w:bottom w:type="dxa" w:w="85"/>
              <w:right w:type="dxa" w:w="115"/>
            </w:tcMar>
            <w:vAlign w:val="center"/>
          </w:tcPr>
          <w:p>
            <w:pPr>
              <w:spacing w:after="0" w:line="255"/>
            </w:pPr>
            <w:r>
              <w:rPr>
                <w:rFonts w:ascii="IBM Plex Sans" w:cs="IBM Plex Sans" w:eastAsia="IBM Plex Sans" w:hAnsi="IBM Plex Sans"/>
                <w:b/>
                <w:bCs/>
                <w:color w:val="244C39"/>
                <w:spacing w:val="20"/>
                <w:sz w:val="15"/>
                <w:szCs w:val="15"/>
              </w:rPr>
              <w:t xml:space="preserve">Service expected</w:t>
            </w:r>
          </w:p>
        </w:tc>
        <w:tc>
          <w:tcPr>
            <w:shd w:fill="EFF2EC" w:val="clear"/>
            <w:tcMar>
              <w:top w:type="dxa" w:w="85"/>
              <w:left w:type="dxa" w:w="115"/>
              <w:bottom w:type="dxa" w:w="85"/>
              <w:right w:type="dxa" w:w="115"/>
            </w:tcMar>
            <w:vAlign w:val="center"/>
          </w:tcPr>
          <w:p>
            <w:pPr>
              <w:spacing w:after="0" w:line="255"/>
            </w:pPr>
            <w:r>
              <w:rPr>
                <w:rFonts w:ascii="IBM Plex Sans" w:cs="IBM Plex Sans" w:eastAsia="IBM Plex Sans" w:hAnsi="IBM Plex Sans"/>
                <w:b/>
                <w:bCs/>
                <w:color w:val="244C39"/>
                <w:spacing w:val="20"/>
                <w:sz w:val="15"/>
                <w:szCs w:val="15"/>
              </w:rPr>
              <w:t xml:space="preserve">How to request their estimate</w:t>
            </w:r>
          </w:p>
        </w:tc>
      </w:tr>
      <w:tr>
        <w:trPr>
          <w:tblHeader w:val="off"/>
        </w:trPr>
        <w:tc>
          <w:tcPr>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 </w:t>
            </w:r>
          </w:p>
        </w:tc>
        <w:tc>
          <w:tcPr>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 </w:t>
            </w:r>
          </w:p>
        </w:tc>
        <w:tc>
          <w:tcPr>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 </w:t>
            </w:r>
          </w:p>
        </w:tc>
      </w:tr>
      <w:tr>
        <w:trPr>
          <w:tblHeader w:val="off"/>
        </w:trPr>
        <w:tc>
          <w:tcPr>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 </w:t>
            </w:r>
          </w:p>
        </w:tc>
        <w:tc>
          <w:tcPr>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 </w:t>
            </w:r>
          </w:p>
        </w:tc>
        <w:tc>
          <w:tcPr>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 </w:t>
            </w:r>
          </w:p>
        </w:tc>
      </w:tr>
    </w:tbl>
    <w:p>
      <w:pPr>
        <w:spacing w:after="170" w:line="270"/>
      </w:pPr>
      <w:r>
        <w:rPr>
          <w:rFonts w:ascii="IBM Plex Sans" w:cs="IBM Plex Sans" w:eastAsia="IBM Plex Sans" w:hAnsi="IBM Plex Sans"/>
          <w:color w:val="3A413E"/>
          <w:sz w:val="19"/>
          <w:szCs w:val="19"/>
        </w:rPr>
        <w:t xml:space="preserve"/>
      </w:r>
    </w:p>
    <w:tbl>
      <w:tblPr>
        <w:tblW w:type="pct" w:w="5000"/>
        <w:tblBorders>
          <w:top w:val="none" w:sz="0"/>
          <w:left w:val="none" w:sz="0"/>
          <w:bottom w:val="none" w:sz="0"/>
          <w:right w:val="none" w:sz="0"/>
          <w:insideH w:val="none" w:sz="0"/>
          <w:insideV w:val="none" w:sz="0"/>
        </w:tblBorders>
      </w:tblPr>
      <w:tblGrid>
        <w:gridCol w:w="10206"/>
      </w:tblGrid>
      <w:tr>
        <w:tc>
          <w:tcPr>
            <w:shd w:fill="E7ECDF" w:val="clear"/>
            <w:tcMar>
              <w:top w:type="dxa" w:w="200"/>
              <w:left w:type="dxa" w:w="230"/>
              <w:bottom w:type="dxa" w:w="200"/>
              <w:right w:type="dxa" w:w="230"/>
            </w:tcMar>
          </w:tcPr>
          <w:p>
            <w:pPr>
              <w:spacing w:after="90"/>
            </w:pPr>
            <w:r>
              <w:rPr>
                <w:rFonts w:ascii="IBM Plex Sans" w:cs="IBM Plex Sans" w:eastAsia="IBM Plex Sans" w:hAnsi="IBM Plex Sans"/>
                <w:b/>
                <w:bCs/>
                <w:color w:val="244C39"/>
                <w:spacing w:val="28"/>
                <w:sz w:val="15"/>
                <w:szCs w:val="15"/>
              </w:rPr>
              <w:t xml:space="preserve">REQUIRED DISCLAIMERS</w:t>
            </w:r>
          </w:p>
          <w:p>
            <w:pPr>
              <w:spacing w:after="110" w:line="270"/>
            </w:pPr>
            <w:r>
              <w:rPr>
                <w:rFonts w:ascii="IBM Plex Sans" w:cs="IBM Plex Sans" w:eastAsia="IBM Plex Sans" w:hAnsi="IBM Plex Sans"/>
                <w:color w:val="4D5351"/>
                <w:sz w:val="19"/>
                <w:szCs w:val="19"/>
              </w:rPr>
              <w:t xml:space="preserve">This Good Faith Estimate shows the costs of items and services that are reasonably expected for your health care needs. The estimate is based on information known at the time it was created and does not include any unknown or unexpected costs that may arise during treatment.</w:t>
            </w:r>
          </w:p>
          <w:p>
            <w:pPr>
              <w:spacing w:after="110" w:line="270"/>
            </w:pPr>
            <w:r>
              <w:rPr>
                <w:rFonts w:ascii="IBM Plex Sans" w:cs="IBM Plex Sans" w:eastAsia="IBM Plex Sans" w:hAnsi="IBM Plex Sans"/>
                <w:color w:val="4D5351"/>
                <w:sz w:val="19"/>
                <w:szCs w:val="19"/>
              </w:rPr>
              <w:t xml:space="preserve">This Good Faith Estimate is not a bill, and it is not a contract. It does not obligate you to obtain the items or services listed.</w:t>
            </w:r>
          </w:p>
          <w:p>
            <w:pPr>
              <w:spacing w:after="110" w:line="270"/>
            </w:pPr>
            <w:r>
              <w:rPr>
                <w:rFonts w:ascii="IBM Plex Sans" w:cs="IBM Plex Sans" w:eastAsia="IBM Plex Sans" w:hAnsi="IBM Plex Sans"/>
                <w:color w:val="4D5351"/>
                <w:sz w:val="19"/>
                <w:szCs w:val="19"/>
              </w:rPr>
              <w:t xml:space="preserve">You may contact the provider or facility listed above to ask questions about this estimate or to discuss the expected cost of your care.</w:t>
            </w:r>
          </w:p>
          <w:p>
            <w:pPr>
              <w:spacing w:after="110" w:line="270"/>
            </w:pPr>
            <w:r>
              <w:rPr>
                <w:rFonts w:ascii="IBM Plex Sans" w:cs="IBM Plex Sans" w:eastAsia="IBM Plex Sans" w:hAnsi="IBM Plex Sans"/>
                <w:color w:val="4D5351"/>
                <w:sz w:val="19"/>
                <w:szCs w:val="19"/>
              </w:rPr>
              <w:t xml:space="preserve">If you are billed at least $400 more than this Good Faith Estimate, you may be eligible to dispute the bill through the federal patient-provider dispute resolution process. You must start the dispute within 120 calendar days of the date on your initial bill. There is a $25 non-refundable administrative fee to start a dispute, which is deducted from what you owe the provider if the dispute is decided in your favor.</w:t>
            </w:r>
          </w:p>
          <w:p>
            <w:pPr>
              <w:spacing w:after="0" w:line="270"/>
            </w:pPr>
            <w:r>
              <w:rPr>
                <w:rFonts w:ascii="IBM Plex Sans" w:cs="IBM Plex Sans" w:eastAsia="IBM Plex Sans" w:hAnsi="IBM Plex Sans"/>
                <w:color w:val="4D5351"/>
                <w:sz w:val="19"/>
                <w:szCs w:val="19"/>
              </w:rPr>
              <w:t xml:space="preserve">Keep a copy of this Good Faith Estimate in a safe place so you can compare it with any bill you receive later.</w:t>
            </w:r>
          </w:p>
        </w:tc>
      </w:tr>
    </w:tbl>
    <w:p>
      <w:pPr>
        <w:spacing w:after="190" w:line="270"/>
      </w:pPr>
      <w:r>
        <w:rPr>
          <w:rFonts w:ascii="IBM Plex Sans" w:cs="IBM Plex Sans" w:eastAsia="IBM Plex Sans" w:hAnsi="IBM Plex Sans"/>
          <w:color w:val="3A413E"/>
          <w:sz w:val="19"/>
          <w:szCs w:val="19"/>
        </w:rPr>
        <w:t xml:space="preserve"/>
      </w:r>
    </w:p>
    <w:p>
      <w:pPr>
        <w:spacing w:after="70" w:line="270"/>
      </w:pPr>
      <w:r>
        <w:rPr>
          <w:rFonts w:ascii="IBM Plex Sans" w:cs="IBM Plex Sans" w:eastAsia="IBM Plex Sans" w:hAnsi="IBM Plex Sans"/>
          <w:b/>
          <w:bCs/>
          <w:color w:val="244C39"/>
          <w:spacing w:val="28"/>
          <w:sz w:val="15"/>
          <w:szCs w:val="15"/>
        </w:rPr>
        <w:t xml:space="preserve">DELIVERY RECORD · PRACTICE USE</w:t>
      </w:r>
    </w:p>
    <w:tbl>
      <w:tblPr>
        <w:tblW w:type="pct" w:w="5000"/>
        <w:tblBorders>
          <w:top w:val="single" w:color="D9DAD9" w:sz="2"/>
          <w:left w:val="single" w:color="D9DAD9" w:sz="2"/>
          <w:bottom w:val="single" w:color="D9DAD9" w:sz="2"/>
          <w:right w:val="single" w:color="D9DAD9" w:sz="2"/>
          <w:insideH w:val="single" w:color="D9DAD9" w:sz="2"/>
          <w:insideV w:val="single" w:color="D9DAD9" w:sz="2"/>
        </w:tblBorders>
      </w:tblPr>
      <w:tblGrid>
        <w:gridCol w:w="5103"/>
        <w:gridCol w:w="5103"/>
      </w:tblGrid>
      <w:tr>
        <w:trPr>
          <w:tblHeader/>
        </w:trPr>
        <w:tc>
          <w:tcPr>
            <w:shd w:fill="EFF2EC" w:val="clear"/>
            <w:tcMar>
              <w:top w:type="dxa" w:w="85"/>
              <w:left w:type="dxa" w:w="115"/>
              <w:bottom w:type="dxa" w:w="85"/>
              <w:right w:type="dxa" w:w="115"/>
            </w:tcMar>
            <w:vAlign w:val="center"/>
          </w:tcPr>
          <w:p>
            <w:pPr>
              <w:spacing w:after="0" w:line="255"/>
            </w:pPr>
            <w:r>
              <w:rPr>
                <w:rFonts w:ascii="IBM Plex Sans" w:cs="IBM Plex Sans" w:eastAsia="IBM Plex Sans" w:hAnsi="IBM Plex Sans"/>
                <w:b/>
                <w:bCs/>
                <w:color w:val="244C39"/>
                <w:spacing w:val="20"/>
                <w:sz w:val="15"/>
                <w:szCs w:val="15"/>
              </w:rPr>
              <w:t xml:space="preserve">Field</w:t>
            </w:r>
          </w:p>
        </w:tc>
        <w:tc>
          <w:tcPr>
            <w:shd w:fill="EFF2EC" w:val="clear"/>
            <w:tcMar>
              <w:top w:type="dxa" w:w="85"/>
              <w:left w:type="dxa" w:w="115"/>
              <w:bottom w:type="dxa" w:w="85"/>
              <w:right w:type="dxa" w:w="115"/>
            </w:tcMar>
            <w:vAlign w:val="center"/>
          </w:tcPr>
          <w:p>
            <w:pPr>
              <w:spacing w:after="0" w:line="255"/>
            </w:pPr>
            <w:r>
              <w:rPr>
                <w:rFonts w:ascii="IBM Plex Sans" w:cs="IBM Plex Sans" w:eastAsia="IBM Plex Sans" w:hAnsi="IBM Plex Sans"/>
                <w:b/>
                <w:bCs/>
                <w:color w:val="244C39"/>
                <w:spacing w:val="20"/>
                <w:sz w:val="15"/>
                <w:szCs w:val="15"/>
              </w:rPr>
              <w:t xml:space="preserve">Entry</w:t>
            </w:r>
          </w:p>
        </w:tc>
      </w:tr>
      <w:tr>
        <w:trPr>
          <w:tblHeader w:val="off"/>
        </w:trPr>
        <w:tc>
          <w:tcPr>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Date the estimate was requested</w:t>
            </w:r>
          </w:p>
        </w:tc>
        <w:tc>
          <w:tcPr>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 </w:t>
            </w:r>
          </w:p>
        </w:tc>
      </w:tr>
      <w:tr>
        <w:trPr>
          <w:tblHeader w:val="off"/>
        </w:trPr>
        <w:tc>
          <w:tcPr>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Date the service was scheduled</w:t>
            </w:r>
          </w:p>
        </w:tc>
        <w:tc>
          <w:tcPr>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 </w:t>
            </w:r>
          </w:p>
        </w:tc>
      </w:tr>
      <w:tr>
        <w:trPr>
          <w:tblHeader w:val="off"/>
        </w:trPr>
        <w:tc>
          <w:tcPr>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Applicable delivery deadline</w:t>
            </w:r>
          </w:p>
        </w:tc>
        <w:tc>
          <w:tcPr>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 </w:t>
            </w:r>
          </w:p>
        </w:tc>
      </w:tr>
      <w:tr>
        <w:trPr>
          <w:tblHeader w:val="off"/>
        </w:trPr>
        <w:tc>
          <w:tcPr>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Date delivered to the patient</w:t>
            </w:r>
          </w:p>
        </w:tc>
        <w:tc>
          <w:tcPr>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 </w:t>
            </w:r>
          </w:p>
        </w:tc>
      </w:tr>
      <w:tr>
        <w:trPr>
          <w:tblHeader w:val="off"/>
        </w:trPr>
        <w:tc>
          <w:tcPr>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Method of delivery (paper, email, portal)</w:t>
            </w:r>
          </w:p>
        </w:tc>
        <w:tc>
          <w:tcPr>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 </w:t>
            </w:r>
          </w:p>
        </w:tc>
      </w:tr>
      <w:tr>
        <w:trPr>
          <w:tblHeader w:val="off"/>
        </w:trPr>
        <w:tc>
          <w:tcPr>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Prepared by</w:t>
            </w:r>
          </w:p>
        </w:tc>
        <w:tc>
          <w:tcPr>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 </w:t>
            </w:r>
          </w:p>
        </w:tc>
      </w:tr>
      <w:tr>
        <w:trPr>
          <w:tblHeader w:val="off"/>
        </w:trPr>
        <w:tc>
          <w:tcPr>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Retained in</w:t>
            </w:r>
          </w:p>
        </w:tc>
        <w:tc>
          <w:tcPr>
            <w:tcMar>
              <w:top w:type="dxa" w:w="85"/>
              <w:left w:type="dxa" w:w="115"/>
              <w:bottom w:type="dxa" w:w="85"/>
              <w:right w:type="dxa" w:w="115"/>
            </w:tcMar>
            <w:vAlign w:val="center"/>
          </w:tcPr>
          <w:p>
            <w:pPr>
              <w:spacing w:after="0" w:line="255"/>
            </w:pPr>
            <w:r>
              <w:rPr>
                <w:rFonts w:ascii="IBM Plex Sans" w:cs="IBM Plex Sans" w:eastAsia="IBM Plex Sans" w:hAnsi="IBM Plex Sans"/>
                <w:color w:val="3A413E"/>
                <w:sz w:val="18"/>
                <w:szCs w:val="18"/>
              </w:rPr>
              <w:t xml:space="preserve"> </w:t>
            </w:r>
          </w:p>
        </w:tc>
      </w:tr>
    </w:tbl>
    <w:p>
      <w:pPr>
        <w:spacing w:after="210" w:before="90" w:line="270"/>
      </w:pPr>
      <w:r>
        <w:rPr>
          <w:rFonts w:ascii="IBM Plex Sans" w:cs="IBM Plex Sans" w:eastAsia="IBM Plex Sans" w:hAnsi="IBM Plex Sans"/>
          <w:i/>
          <w:iCs/>
          <w:color w:val="686D6B"/>
          <w:sz w:val="19"/>
          <w:szCs w:val="19"/>
        </w:rPr>
        <w:t xml:space="preserve">Federal deadlines: within 3 business days of a request; within 1 business day when care is scheduled 3 to 9 business days ahead; within 3 business days when care is scheduled 10 or more business days ahead. Business days exclude weekends and federal holidays.</w:t>
      </w:r>
    </w:p>
    <w:p>
      <w:pPr>
        <w:pBdr>
          <w:left w:val="single" w:color="244C39" w:sz="12" w:space="10"/>
        </w:pBdr>
        <w:spacing w:after="60" w:line="270"/>
      </w:pPr>
      <w:r>
        <w:rPr>
          <w:rFonts w:ascii="IBM Plex Sans" w:cs="IBM Plex Sans" w:eastAsia="IBM Plex Sans" w:hAnsi="IBM Plex Sans"/>
          <w:b/>
          <w:bCs/>
          <w:color w:val="1D2522"/>
          <w:sz w:val="19"/>
          <w:szCs w:val="19"/>
        </w:rPr>
        <w:t xml:space="preserve">Before you use this template</w:t>
      </w:r>
    </w:p>
    <w:p>
      <w:pPr>
        <w:pBdr>
          <w:left w:val="single" w:color="244C39" w:sz="12" w:space="10"/>
        </w:pBdr>
        <w:spacing w:after="230" w:line="270"/>
      </w:pPr>
      <w:r>
        <w:rPr>
          <w:rFonts w:ascii="IBM Plex Sans" w:cs="IBM Plex Sans" w:eastAsia="IBM Plex Sans" w:hAnsi="IBM Plex Sans"/>
          <w:color w:val="4D5351"/>
          <w:sz w:val="19"/>
          <w:szCs w:val="19"/>
        </w:rPr>
        <w:t xml:space="preserve">This is a starting point, not a certification of compliance. Check every field against the current CMS sample Good Faith Estimate and 45 CFR 149.610 before use, add any state-law requirements that apply to your practice, and have the responsible compliance or legal adviser review the final form. Educational information, not legal advice.</w:t>
      </w:r>
    </w:p>
    <w:p>
      <w:pPr>
        <w:pBdr>
          <w:top w:val="single" w:color="E7E8E8" w:sz="4" w:space="10"/>
        </w:pBdr>
        <w:spacing w:before="60"/>
      </w:pPr>
      <w:r>
        <w:rPr>
          <w:rFonts w:ascii="IBM Plex Sans" w:cs="IBM Plex Sans" w:eastAsia="IBM Plex Sans" w:hAnsi="IBM Plex Sans"/>
          <w:color w:val="6F7472"/>
          <w:sz w:val="15"/>
          <w:szCs w:val="15"/>
        </w:rPr>
        <w:t xml:space="preserve">Supa · behavioral health billing and documentation · </w:t>
      </w:r>
      <w:r>
        <w:rPr>
          <w:rFonts w:ascii="IBM Plex Sans" w:cs="IBM Plex Sans" w:eastAsia="IBM Plex Sans" w:hAnsi="IBM Plex Sans"/>
          <w:b/>
          <w:bCs/>
          <w:color w:val="2A7069"/>
          <w:sz w:val="15"/>
          <w:szCs w:val="15"/>
        </w:rPr>
        <w:t xml:space="preserve">heysupa.com</w:t>
      </w:r>
    </w:p>
    <w:sectPr>
      <w:pgSz w:w="11906" w:h="16838" w:orient="portrait"/>
      <w:pgMar w:top="850" w:right="850" w:bottom="85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00"/>
    </w:pPr>
  </w:style>
  <w:style w:type="paragraph" w:styleId="TOC3">
    <w:name w:val="toc 3"/>
    <w:basedOn w:val="Normal"/>
    <w:next w:val="Normal"/>
    <w:uiPriority w:val="39"/>
    <w:semiHidden/>
    <w:unhideWhenUsed/>
    <w:pPr>
      <w:spacing w:after="100"/>
      <w:ind w:left="400"/>
    </w:pPr>
  </w:style>
  <w:style w:type="paragraph" w:styleId="TOC4">
    <w:name w:val="toc 4"/>
    <w:basedOn w:val="Normal"/>
    <w:next w:val="Normal"/>
    <w:uiPriority w:val="39"/>
    <w:semiHidden/>
    <w:unhideWhenUsed/>
    <w:pPr>
      <w:spacing w:after="100"/>
      <w:ind w:left="600"/>
    </w:pPr>
  </w:style>
  <w:style w:type="paragraph" w:styleId="TOC5">
    <w:name w:val="toc 5"/>
    <w:basedOn w:val="Normal"/>
    <w:next w:val="Normal"/>
    <w:uiPriority w:val="39"/>
    <w:semiHidden/>
    <w:unhideWhenUsed/>
    <w:pPr>
      <w:spacing w:after="100"/>
      <w:ind w:left="800"/>
    </w:pPr>
  </w:style>
  <w:style w:type="paragraph" w:styleId="TOC6">
    <w:name w:val="toc 6"/>
    <w:basedOn w:val="Normal"/>
    <w:next w:val="Normal"/>
    <w:uiPriority w:val="39"/>
    <w:semiHidden/>
    <w:unhideWhenUsed/>
    <w:pPr>
      <w:spacing w:after="100"/>
      <w:ind w:left="1000"/>
    </w:pPr>
  </w:style>
  <w:style w:type="paragraph" w:styleId="TOC7">
    <w:name w:val="toc 7"/>
    <w:basedOn w:val="Normal"/>
    <w:next w:val="Normal"/>
    <w:uiPriority w:val="39"/>
    <w:semiHidden/>
    <w:unhideWhenUsed/>
    <w:pPr>
      <w:spacing w:after="100"/>
      <w:ind w:left="1200"/>
    </w:pPr>
  </w:style>
  <w:style w:type="paragraph" w:styleId="TOC8">
    <w:name w:val="toc 8"/>
    <w:basedOn w:val="Normal"/>
    <w:next w:val="Normal"/>
    <w:uiPriority w:val="39"/>
    <w:semiHidden/>
    <w:unhideWhenUsed/>
    <w:pPr>
      <w:spacing w:after="100"/>
      <w:ind w:left="1400"/>
    </w:pPr>
  </w:style>
  <w:style w:type="paragraph" w:styleId="TOC9">
    <w:name w:val="toc 9"/>
    <w:basedOn w:val="Normal"/>
    <w:next w:val="Normal"/>
    <w:uiPriority w:val="39"/>
    <w:semiHidden/>
    <w:unhideWhenUsed/>
    <w:pPr>
      <w:spacing w:after="100"/>
      <w:ind w:left="160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image1.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2026-11-05T15:24:30.310Z</dcterms:created>
  <dcterms:modified xsi:type="dcterms:W3CDTF">2026-11-05T15:24:30.311Z</dcterms:modified>
</cp:coreProperties>
</file>

<file path=docProps/custom.xml><?xml version="1.0" encoding="utf-8"?>
<Properties xmlns="http://schemas.openxmlformats.org/officeDocument/2006/custom-properties" xmlns:vt="http://schemas.openxmlformats.org/officeDocument/2006/docPropsVTypes"/>
</file>